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1651A" w14:textId="14683B25" w:rsidR="00181C9F" w:rsidRPr="00735AFF" w:rsidRDefault="00181C9F" w:rsidP="00181C9F">
      <w:pPr>
        <w:spacing w:after="0" w:line="240" w:lineRule="auto"/>
        <w:rPr>
          <w:rFonts w:ascii="Times New Roman" w:eastAsia="Times New Roman" w:hAnsi="Times New Roman" w:cs="Times New Roman"/>
          <w:kern w:val="0"/>
          <w:lang w:eastAsia="fr-FR"/>
          <w14:ligatures w14:val="none"/>
        </w:rPr>
      </w:pPr>
    </w:p>
    <w:p w14:paraId="64D05575" w14:textId="0386CFB5" w:rsidR="00181C9F" w:rsidRPr="00181C9F" w:rsidRDefault="00181C9F" w:rsidP="00181C9F">
      <w:pPr>
        <w:spacing w:after="0" w:line="240" w:lineRule="auto"/>
        <w:outlineLvl w:val="0"/>
        <w:rPr>
          <w:rFonts w:ascii="Times New Roman" w:eastAsia="Times New Roman" w:hAnsi="Times New Roman" w:cs="Times New Roman"/>
          <w:b/>
          <w:bCs/>
          <w:kern w:val="36"/>
          <w:sz w:val="36"/>
          <w:szCs w:val="36"/>
          <w:lang w:eastAsia="fr-FR"/>
          <w14:ligatures w14:val="none"/>
        </w:rPr>
      </w:pPr>
      <w:r w:rsidRPr="00181C9F">
        <w:rPr>
          <w:rFonts w:ascii="Times New Roman" w:eastAsia="Times New Roman" w:hAnsi="Times New Roman" w:cs="Times New Roman"/>
          <w:b/>
          <w:bCs/>
          <w:kern w:val="36"/>
          <w:sz w:val="36"/>
          <w:szCs w:val="36"/>
          <w:lang w:eastAsia="fr-FR"/>
          <w14:ligatures w14:val="none"/>
        </w:rPr>
        <w:t>RÉABONNEMENT / REPRISE D'ABONNEMENT</w:t>
      </w:r>
    </w:p>
    <w:p w14:paraId="289CF1AD" w14:textId="77777777" w:rsidR="00181C9F" w:rsidRPr="00181C9F" w:rsidRDefault="00181C9F" w:rsidP="00181C9F">
      <w:pPr>
        <w:spacing w:after="0" w:line="240" w:lineRule="auto"/>
        <w:outlineLvl w:val="0"/>
        <w:rPr>
          <w:rFonts w:ascii="Times New Roman" w:eastAsia="Times New Roman" w:hAnsi="Times New Roman" w:cs="Times New Roman"/>
          <w:b/>
          <w:bCs/>
          <w:kern w:val="36"/>
          <w:sz w:val="16"/>
          <w:szCs w:val="16"/>
          <w:lang w:eastAsia="fr-FR"/>
          <w14:ligatures w14:val="none"/>
        </w:rPr>
      </w:pPr>
    </w:p>
    <w:p w14:paraId="276B607E" w14:textId="77777777" w:rsidR="00181C9F" w:rsidRPr="00181C9F" w:rsidRDefault="00181C9F" w:rsidP="00181C9F">
      <w:pPr>
        <w:spacing w:after="0" w:line="240" w:lineRule="auto"/>
        <w:jc w:val="both"/>
        <w:rPr>
          <w:rFonts w:ascii="Times New Roman" w:eastAsia="Times New Roman" w:hAnsi="Times New Roman" w:cs="Times New Roman"/>
          <w:kern w:val="0"/>
          <w:lang w:eastAsia="fr-FR"/>
          <w14:ligatures w14:val="none"/>
        </w:rPr>
      </w:pPr>
      <w:r w:rsidRPr="00181C9F">
        <w:rPr>
          <w:rFonts w:ascii="Times New Roman" w:eastAsia="Times New Roman" w:hAnsi="Times New Roman" w:cs="Times New Roman"/>
          <w:kern w:val="0"/>
          <w:lang w:eastAsia="fr-FR"/>
          <w14:ligatures w14:val="none"/>
        </w:rPr>
        <w:t>La reprise d'abonnement concerne notamment le cas où le précédent consommateur a résilié son contrat et où un nouveau client souhaite bénéficier de la fourniture d'eau sur le même point de livraison.</w:t>
      </w:r>
    </w:p>
    <w:p w14:paraId="48B36506" w14:textId="77777777" w:rsidR="00181C9F" w:rsidRPr="00181C9F" w:rsidRDefault="00181C9F" w:rsidP="00181C9F">
      <w:pPr>
        <w:spacing w:after="0" w:line="240" w:lineRule="auto"/>
        <w:jc w:val="both"/>
        <w:rPr>
          <w:rFonts w:ascii="Times New Roman" w:eastAsia="Times New Roman" w:hAnsi="Times New Roman" w:cs="Times New Roman"/>
          <w:kern w:val="0"/>
          <w:sz w:val="10"/>
          <w:szCs w:val="10"/>
          <w:lang w:eastAsia="fr-FR"/>
          <w14:ligatures w14:val="none"/>
        </w:rPr>
      </w:pPr>
    </w:p>
    <w:p w14:paraId="5D618655" w14:textId="0088B537" w:rsidR="00181C9F" w:rsidRPr="00181C9F" w:rsidRDefault="00181C9F" w:rsidP="00181C9F">
      <w:pPr>
        <w:spacing w:after="0" w:line="240" w:lineRule="auto"/>
        <w:jc w:val="both"/>
        <w:rPr>
          <w:rFonts w:ascii="Times New Roman" w:eastAsia="Times New Roman" w:hAnsi="Times New Roman" w:cs="Times New Roman"/>
          <w:kern w:val="0"/>
          <w:lang w:eastAsia="fr-FR"/>
          <w14:ligatures w14:val="none"/>
        </w:rPr>
      </w:pPr>
      <w:r w:rsidRPr="00181C9F">
        <w:rPr>
          <w:rFonts w:ascii="Times New Roman" w:eastAsia="Times New Roman" w:hAnsi="Times New Roman" w:cs="Times New Roman"/>
          <w:kern w:val="0"/>
          <w:lang w:eastAsia="fr-FR"/>
          <w14:ligatures w14:val="none"/>
        </w:rPr>
        <w:t xml:space="preserve">Lorsque le compteur a été déposé, le nouveau client doit souscrire un nouveau contrat d'abonnement à son nom afin de permettre la pose du compteur et la mise en service. </w:t>
      </w:r>
      <w:r>
        <w:rPr>
          <w:rFonts w:ascii="Times New Roman" w:eastAsia="Times New Roman" w:hAnsi="Times New Roman" w:cs="Times New Roman"/>
          <w:kern w:val="0"/>
          <w:lang w:eastAsia="fr-FR"/>
          <w14:ligatures w14:val="none"/>
        </w:rPr>
        <w:t xml:space="preserve">                       </w:t>
      </w:r>
      <w:r w:rsidRPr="00181C9F">
        <w:rPr>
          <w:rFonts w:ascii="Times New Roman" w:eastAsia="Times New Roman" w:hAnsi="Times New Roman" w:cs="Times New Roman"/>
          <w:kern w:val="0"/>
          <w:lang w:eastAsia="fr-FR"/>
          <w14:ligatures w14:val="none"/>
        </w:rPr>
        <w:t>Une intervention préalable permet de vérifier l'état de l'installation.</w:t>
      </w:r>
    </w:p>
    <w:p w14:paraId="5CB24A92" w14:textId="77777777" w:rsidR="00181C9F" w:rsidRPr="00181C9F" w:rsidRDefault="00181C9F" w:rsidP="00181C9F">
      <w:pPr>
        <w:spacing w:after="0" w:line="240" w:lineRule="auto"/>
        <w:jc w:val="both"/>
        <w:rPr>
          <w:rFonts w:ascii="Times New Roman" w:eastAsia="Times New Roman" w:hAnsi="Times New Roman" w:cs="Times New Roman"/>
          <w:kern w:val="0"/>
          <w:sz w:val="10"/>
          <w:szCs w:val="10"/>
          <w:lang w:eastAsia="fr-FR"/>
          <w14:ligatures w14:val="none"/>
        </w:rPr>
      </w:pPr>
    </w:p>
    <w:p w14:paraId="016B4C71" w14:textId="77777777" w:rsidR="00181C9F" w:rsidRDefault="00181C9F" w:rsidP="00181C9F">
      <w:pPr>
        <w:spacing w:after="0" w:line="240" w:lineRule="auto"/>
        <w:jc w:val="both"/>
        <w:outlineLvl w:val="2"/>
        <w:rPr>
          <w:rFonts w:ascii="Times New Roman" w:eastAsia="Times New Roman" w:hAnsi="Times New Roman" w:cs="Times New Roman"/>
          <w:b/>
          <w:bCs/>
          <w:kern w:val="0"/>
          <w:sz w:val="27"/>
          <w:szCs w:val="27"/>
          <w:lang w:eastAsia="fr-FR"/>
          <w14:ligatures w14:val="none"/>
        </w:rPr>
      </w:pPr>
      <w:r w:rsidRPr="00735AFF">
        <w:rPr>
          <w:rFonts w:ascii="Times New Roman" w:eastAsia="Times New Roman" w:hAnsi="Times New Roman" w:cs="Times New Roman"/>
          <w:b/>
          <w:bCs/>
          <w:kern w:val="0"/>
          <w:sz w:val="27"/>
          <w:szCs w:val="27"/>
          <w:lang w:eastAsia="fr-FR"/>
          <w14:ligatures w14:val="none"/>
        </w:rPr>
        <w:t>Démarches</w:t>
      </w:r>
    </w:p>
    <w:p w14:paraId="3F9597ED" w14:textId="77777777" w:rsidR="00181C9F" w:rsidRPr="00181C9F" w:rsidRDefault="00181C9F" w:rsidP="00181C9F">
      <w:pPr>
        <w:spacing w:after="0" w:line="240" w:lineRule="auto"/>
        <w:jc w:val="both"/>
        <w:outlineLvl w:val="2"/>
        <w:rPr>
          <w:rFonts w:ascii="Times New Roman" w:eastAsia="Times New Roman" w:hAnsi="Times New Roman" w:cs="Times New Roman"/>
          <w:b/>
          <w:bCs/>
          <w:kern w:val="0"/>
          <w:sz w:val="10"/>
          <w:szCs w:val="10"/>
          <w:lang w:eastAsia="fr-FR"/>
          <w14:ligatures w14:val="none"/>
        </w:rPr>
      </w:pPr>
    </w:p>
    <w:p w14:paraId="0C602B33" w14:textId="77777777" w:rsidR="00181C9F" w:rsidRPr="00735AFF" w:rsidRDefault="00181C9F" w:rsidP="00181C9F">
      <w:pPr>
        <w:spacing w:after="0" w:line="240" w:lineRule="auto"/>
        <w:jc w:val="both"/>
        <w:rPr>
          <w:rFonts w:ascii="Times New Roman" w:eastAsia="Times New Roman" w:hAnsi="Times New Roman" w:cs="Times New Roman"/>
          <w:kern w:val="0"/>
          <w:lang w:eastAsia="fr-FR"/>
          <w14:ligatures w14:val="none"/>
        </w:rPr>
      </w:pPr>
      <w:r w:rsidRPr="00735AFF">
        <w:rPr>
          <w:rFonts w:ascii="Times New Roman" w:eastAsia="Times New Roman" w:hAnsi="Times New Roman" w:cs="Times New Roman"/>
          <w:kern w:val="0"/>
          <w:lang w:eastAsia="fr-FR"/>
          <w14:ligatures w14:val="none"/>
        </w:rPr>
        <w:t>Le demandeur doit :</w:t>
      </w:r>
    </w:p>
    <w:p w14:paraId="6065F415" w14:textId="77777777" w:rsidR="00181C9F" w:rsidRPr="00735AFF" w:rsidRDefault="00181C9F" w:rsidP="00181C9F">
      <w:pPr>
        <w:numPr>
          <w:ilvl w:val="0"/>
          <w:numId w:val="10"/>
        </w:numPr>
        <w:spacing w:after="0" w:line="240" w:lineRule="auto"/>
        <w:jc w:val="both"/>
        <w:rPr>
          <w:rFonts w:ascii="Times New Roman" w:eastAsia="Times New Roman" w:hAnsi="Times New Roman" w:cs="Times New Roman"/>
          <w:kern w:val="0"/>
          <w:lang w:eastAsia="fr-FR"/>
          <w14:ligatures w14:val="none"/>
        </w:rPr>
      </w:pPr>
      <w:proofErr w:type="gramStart"/>
      <w:r w:rsidRPr="00735AFF">
        <w:rPr>
          <w:rFonts w:ascii="Times New Roman" w:eastAsia="Times New Roman" w:hAnsi="Times New Roman" w:cs="Times New Roman"/>
          <w:kern w:val="0"/>
          <w:lang w:eastAsia="fr-FR"/>
          <w14:ligatures w14:val="none"/>
        </w:rPr>
        <w:t>se</w:t>
      </w:r>
      <w:proofErr w:type="gramEnd"/>
      <w:r w:rsidRPr="00735AFF">
        <w:rPr>
          <w:rFonts w:ascii="Times New Roman" w:eastAsia="Times New Roman" w:hAnsi="Times New Roman" w:cs="Times New Roman"/>
          <w:kern w:val="0"/>
          <w:lang w:eastAsia="fr-FR"/>
          <w14:ligatures w14:val="none"/>
        </w:rPr>
        <w:t xml:space="preserve"> présenter à l'agence TdE compétente ;</w:t>
      </w:r>
    </w:p>
    <w:p w14:paraId="4251A395" w14:textId="77777777" w:rsidR="00181C9F" w:rsidRPr="00735AFF" w:rsidRDefault="00181C9F" w:rsidP="00181C9F">
      <w:pPr>
        <w:numPr>
          <w:ilvl w:val="0"/>
          <w:numId w:val="10"/>
        </w:numPr>
        <w:spacing w:after="0" w:line="240" w:lineRule="auto"/>
        <w:jc w:val="both"/>
        <w:rPr>
          <w:rFonts w:ascii="Times New Roman" w:eastAsia="Times New Roman" w:hAnsi="Times New Roman" w:cs="Times New Roman"/>
          <w:kern w:val="0"/>
          <w:lang w:eastAsia="fr-FR"/>
          <w14:ligatures w14:val="none"/>
        </w:rPr>
      </w:pPr>
      <w:proofErr w:type="gramStart"/>
      <w:r w:rsidRPr="00735AFF">
        <w:rPr>
          <w:rFonts w:ascii="Times New Roman" w:eastAsia="Times New Roman" w:hAnsi="Times New Roman" w:cs="Times New Roman"/>
          <w:kern w:val="0"/>
          <w:lang w:eastAsia="fr-FR"/>
          <w14:ligatures w14:val="none"/>
        </w:rPr>
        <w:t>fournir</w:t>
      </w:r>
      <w:proofErr w:type="gramEnd"/>
      <w:r w:rsidRPr="00735AFF">
        <w:rPr>
          <w:rFonts w:ascii="Times New Roman" w:eastAsia="Times New Roman" w:hAnsi="Times New Roman" w:cs="Times New Roman"/>
          <w:kern w:val="0"/>
          <w:lang w:eastAsia="fr-FR"/>
          <w14:ligatures w14:val="none"/>
        </w:rPr>
        <w:t xml:space="preserve"> les pièces justificatives nécessaires ;</w:t>
      </w:r>
    </w:p>
    <w:p w14:paraId="50FD541C" w14:textId="77777777" w:rsidR="00181C9F" w:rsidRPr="00735AFF" w:rsidRDefault="00181C9F" w:rsidP="00181C9F">
      <w:pPr>
        <w:numPr>
          <w:ilvl w:val="0"/>
          <w:numId w:val="10"/>
        </w:numPr>
        <w:spacing w:after="0" w:line="240" w:lineRule="auto"/>
        <w:jc w:val="both"/>
        <w:rPr>
          <w:rFonts w:ascii="Times New Roman" w:eastAsia="Times New Roman" w:hAnsi="Times New Roman" w:cs="Times New Roman"/>
          <w:kern w:val="0"/>
          <w:lang w:eastAsia="fr-FR"/>
          <w14:ligatures w14:val="none"/>
        </w:rPr>
      </w:pPr>
      <w:proofErr w:type="gramStart"/>
      <w:r w:rsidRPr="00735AFF">
        <w:rPr>
          <w:rFonts w:ascii="Times New Roman" w:eastAsia="Times New Roman" w:hAnsi="Times New Roman" w:cs="Times New Roman"/>
          <w:kern w:val="0"/>
          <w:lang w:eastAsia="fr-FR"/>
          <w14:ligatures w14:val="none"/>
        </w:rPr>
        <w:t>présenter</w:t>
      </w:r>
      <w:proofErr w:type="gramEnd"/>
      <w:r w:rsidRPr="00735AFF">
        <w:rPr>
          <w:rFonts w:ascii="Times New Roman" w:eastAsia="Times New Roman" w:hAnsi="Times New Roman" w:cs="Times New Roman"/>
          <w:kern w:val="0"/>
          <w:lang w:eastAsia="fr-FR"/>
          <w14:ligatures w14:val="none"/>
        </w:rPr>
        <w:t>, lorsque disponible, la facture du précédent consommateur ou une copie de sa police ;</w:t>
      </w:r>
    </w:p>
    <w:p w14:paraId="21908CDE" w14:textId="77777777" w:rsidR="00181C9F" w:rsidRPr="00735AFF" w:rsidRDefault="00181C9F" w:rsidP="00181C9F">
      <w:pPr>
        <w:numPr>
          <w:ilvl w:val="0"/>
          <w:numId w:val="10"/>
        </w:numPr>
        <w:spacing w:after="0" w:line="240" w:lineRule="auto"/>
        <w:jc w:val="both"/>
        <w:rPr>
          <w:rFonts w:ascii="Times New Roman" w:eastAsia="Times New Roman" w:hAnsi="Times New Roman" w:cs="Times New Roman"/>
          <w:kern w:val="0"/>
          <w:lang w:eastAsia="fr-FR"/>
          <w14:ligatures w14:val="none"/>
        </w:rPr>
      </w:pPr>
      <w:proofErr w:type="gramStart"/>
      <w:r w:rsidRPr="00735AFF">
        <w:rPr>
          <w:rFonts w:ascii="Times New Roman" w:eastAsia="Times New Roman" w:hAnsi="Times New Roman" w:cs="Times New Roman"/>
          <w:kern w:val="0"/>
          <w:lang w:eastAsia="fr-FR"/>
          <w14:ligatures w14:val="none"/>
        </w:rPr>
        <w:t>permettre</w:t>
      </w:r>
      <w:proofErr w:type="gramEnd"/>
      <w:r w:rsidRPr="00735AFF">
        <w:rPr>
          <w:rFonts w:ascii="Times New Roman" w:eastAsia="Times New Roman" w:hAnsi="Times New Roman" w:cs="Times New Roman"/>
          <w:kern w:val="0"/>
          <w:lang w:eastAsia="fr-FR"/>
          <w14:ligatures w14:val="none"/>
        </w:rPr>
        <w:t xml:space="preserve"> à la TdE de vérifier la situation du précédent abonnement ;</w:t>
      </w:r>
    </w:p>
    <w:p w14:paraId="4178DA32" w14:textId="77777777" w:rsidR="00181C9F" w:rsidRPr="00735AFF" w:rsidRDefault="00181C9F" w:rsidP="00181C9F">
      <w:pPr>
        <w:numPr>
          <w:ilvl w:val="0"/>
          <w:numId w:val="10"/>
        </w:numPr>
        <w:spacing w:after="0" w:line="240" w:lineRule="auto"/>
        <w:jc w:val="both"/>
        <w:rPr>
          <w:rFonts w:ascii="Times New Roman" w:eastAsia="Times New Roman" w:hAnsi="Times New Roman" w:cs="Times New Roman"/>
          <w:kern w:val="0"/>
          <w:lang w:eastAsia="fr-FR"/>
          <w14:ligatures w14:val="none"/>
        </w:rPr>
      </w:pPr>
      <w:proofErr w:type="gramStart"/>
      <w:r w:rsidRPr="00735AFF">
        <w:rPr>
          <w:rFonts w:ascii="Times New Roman" w:eastAsia="Times New Roman" w:hAnsi="Times New Roman" w:cs="Times New Roman"/>
          <w:kern w:val="0"/>
          <w:lang w:eastAsia="fr-FR"/>
          <w14:ligatures w14:val="none"/>
        </w:rPr>
        <w:t>régulariser</w:t>
      </w:r>
      <w:proofErr w:type="gramEnd"/>
      <w:r w:rsidRPr="00735AFF">
        <w:rPr>
          <w:rFonts w:ascii="Times New Roman" w:eastAsia="Times New Roman" w:hAnsi="Times New Roman" w:cs="Times New Roman"/>
          <w:kern w:val="0"/>
          <w:lang w:eastAsia="fr-FR"/>
          <w14:ligatures w14:val="none"/>
        </w:rPr>
        <w:t xml:space="preserve"> les conditions nécessaires à la reprise ;</w:t>
      </w:r>
    </w:p>
    <w:p w14:paraId="545776D2" w14:textId="77777777" w:rsidR="00181C9F" w:rsidRPr="00735AFF" w:rsidRDefault="00181C9F" w:rsidP="00181C9F">
      <w:pPr>
        <w:numPr>
          <w:ilvl w:val="0"/>
          <w:numId w:val="10"/>
        </w:numPr>
        <w:spacing w:after="0" w:line="240" w:lineRule="auto"/>
        <w:jc w:val="both"/>
        <w:rPr>
          <w:rFonts w:ascii="Times New Roman" w:eastAsia="Times New Roman" w:hAnsi="Times New Roman" w:cs="Times New Roman"/>
          <w:kern w:val="0"/>
          <w:lang w:eastAsia="fr-FR"/>
          <w14:ligatures w14:val="none"/>
        </w:rPr>
      </w:pPr>
      <w:proofErr w:type="gramStart"/>
      <w:r w:rsidRPr="00735AFF">
        <w:rPr>
          <w:rFonts w:ascii="Times New Roman" w:eastAsia="Times New Roman" w:hAnsi="Times New Roman" w:cs="Times New Roman"/>
          <w:kern w:val="0"/>
          <w:lang w:eastAsia="fr-FR"/>
          <w14:ligatures w14:val="none"/>
        </w:rPr>
        <w:t>souscrire</w:t>
      </w:r>
      <w:proofErr w:type="gramEnd"/>
      <w:r w:rsidRPr="00735AFF">
        <w:rPr>
          <w:rFonts w:ascii="Times New Roman" w:eastAsia="Times New Roman" w:hAnsi="Times New Roman" w:cs="Times New Roman"/>
          <w:kern w:val="0"/>
          <w:lang w:eastAsia="fr-FR"/>
          <w14:ligatures w14:val="none"/>
        </w:rPr>
        <w:t xml:space="preserve"> et signer un nouveau contrat d'abonnement ;</w:t>
      </w:r>
    </w:p>
    <w:p w14:paraId="3A763B25" w14:textId="77777777" w:rsidR="00181C9F" w:rsidRPr="00735AFF" w:rsidRDefault="00181C9F" w:rsidP="00181C9F">
      <w:pPr>
        <w:numPr>
          <w:ilvl w:val="0"/>
          <w:numId w:val="10"/>
        </w:numPr>
        <w:spacing w:after="0" w:line="240" w:lineRule="auto"/>
        <w:jc w:val="both"/>
        <w:rPr>
          <w:rFonts w:ascii="Times New Roman" w:eastAsia="Times New Roman" w:hAnsi="Times New Roman" w:cs="Times New Roman"/>
          <w:kern w:val="0"/>
          <w:lang w:eastAsia="fr-FR"/>
          <w14:ligatures w14:val="none"/>
        </w:rPr>
      </w:pPr>
      <w:proofErr w:type="gramStart"/>
      <w:r w:rsidRPr="00735AFF">
        <w:rPr>
          <w:rFonts w:ascii="Times New Roman" w:eastAsia="Times New Roman" w:hAnsi="Times New Roman" w:cs="Times New Roman"/>
          <w:kern w:val="0"/>
          <w:lang w:eastAsia="fr-FR"/>
          <w14:ligatures w14:val="none"/>
        </w:rPr>
        <w:t>régler</w:t>
      </w:r>
      <w:proofErr w:type="gramEnd"/>
      <w:r w:rsidRPr="00735AFF">
        <w:rPr>
          <w:rFonts w:ascii="Times New Roman" w:eastAsia="Times New Roman" w:hAnsi="Times New Roman" w:cs="Times New Roman"/>
          <w:kern w:val="0"/>
          <w:lang w:eastAsia="fr-FR"/>
          <w14:ligatures w14:val="none"/>
        </w:rPr>
        <w:t xml:space="preserve"> les sommes exigibles ;</w:t>
      </w:r>
    </w:p>
    <w:p w14:paraId="64C7C0A6" w14:textId="77777777" w:rsidR="00181C9F" w:rsidRDefault="00181C9F" w:rsidP="00181C9F">
      <w:pPr>
        <w:numPr>
          <w:ilvl w:val="0"/>
          <w:numId w:val="10"/>
        </w:numPr>
        <w:spacing w:after="0" w:line="240" w:lineRule="auto"/>
        <w:jc w:val="both"/>
        <w:rPr>
          <w:rFonts w:ascii="Times New Roman" w:eastAsia="Times New Roman" w:hAnsi="Times New Roman" w:cs="Times New Roman"/>
          <w:kern w:val="0"/>
          <w:lang w:eastAsia="fr-FR"/>
          <w14:ligatures w14:val="none"/>
        </w:rPr>
      </w:pPr>
      <w:proofErr w:type="gramStart"/>
      <w:r w:rsidRPr="00735AFF">
        <w:rPr>
          <w:rFonts w:ascii="Times New Roman" w:eastAsia="Times New Roman" w:hAnsi="Times New Roman" w:cs="Times New Roman"/>
          <w:kern w:val="0"/>
          <w:lang w:eastAsia="fr-FR"/>
          <w14:ligatures w14:val="none"/>
        </w:rPr>
        <w:t>attendre</w:t>
      </w:r>
      <w:proofErr w:type="gramEnd"/>
      <w:r w:rsidRPr="00735AFF">
        <w:rPr>
          <w:rFonts w:ascii="Times New Roman" w:eastAsia="Times New Roman" w:hAnsi="Times New Roman" w:cs="Times New Roman"/>
          <w:kern w:val="0"/>
          <w:lang w:eastAsia="fr-FR"/>
          <w14:ligatures w14:val="none"/>
        </w:rPr>
        <w:t xml:space="preserve"> la pose du compteur ou le rétablissement de la fourniture, selon la situation.</w:t>
      </w:r>
    </w:p>
    <w:p w14:paraId="2C99823A" w14:textId="77777777" w:rsidR="00181C9F" w:rsidRPr="00181C9F" w:rsidRDefault="00181C9F" w:rsidP="00181C9F">
      <w:pPr>
        <w:spacing w:after="0" w:line="240" w:lineRule="auto"/>
        <w:ind w:left="720"/>
        <w:jc w:val="both"/>
        <w:rPr>
          <w:rFonts w:ascii="Times New Roman" w:eastAsia="Times New Roman" w:hAnsi="Times New Roman" w:cs="Times New Roman"/>
          <w:kern w:val="0"/>
          <w:sz w:val="10"/>
          <w:szCs w:val="10"/>
          <w:lang w:eastAsia="fr-FR"/>
          <w14:ligatures w14:val="none"/>
        </w:rPr>
      </w:pPr>
    </w:p>
    <w:p w14:paraId="5E3681B6" w14:textId="77777777" w:rsidR="00181C9F" w:rsidRDefault="00181C9F" w:rsidP="00181C9F">
      <w:pPr>
        <w:spacing w:after="0" w:line="240" w:lineRule="auto"/>
        <w:jc w:val="both"/>
        <w:outlineLvl w:val="2"/>
        <w:rPr>
          <w:rFonts w:ascii="Times New Roman" w:eastAsia="Times New Roman" w:hAnsi="Times New Roman" w:cs="Times New Roman"/>
          <w:b/>
          <w:bCs/>
          <w:kern w:val="0"/>
          <w:sz w:val="27"/>
          <w:szCs w:val="27"/>
          <w:lang w:eastAsia="fr-FR"/>
          <w14:ligatures w14:val="none"/>
        </w:rPr>
      </w:pPr>
      <w:r w:rsidRPr="00735AFF">
        <w:rPr>
          <w:rFonts w:ascii="Times New Roman" w:eastAsia="Times New Roman" w:hAnsi="Times New Roman" w:cs="Times New Roman"/>
          <w:b/>
          <w:bCs/>
          <w:kern w:val="0"/>
          <w:sz w:val="27"/>
          <w:szCs w:val="27"/>
          <w:lang w:eastAsia="fr-FR"/>
          <w14:ligatures w14:val="none"/>
        </w:rPr>
        <w:t>Situation des éventuels impayés</w:t>
      </w:r>
    </w:p>
    <w:p w14:paraId="7A4B03F8" w14:textId="77777777" w:rsidR="00181C9F" w:rsidRPr="00181C9F" w:rsidRDefault="00181C9F" w:rsidP="00181C9F">
      <w:pPr>
        <w:spacing w:after="0" w:line="240" w:lineRule="auto"/>
        <w:jc w:val="both"/>
        <w:outlineLvl w:val="2"/>
        <w:rPr>
          <w:rFonts w:ascii="Times New Roman" w:eastAsia="Times New Roman" w:hAnsi="Times New Roman" w:cs="Times New Roman"/>
          <w:b/>
          <w:bCs/>
          <w:kern w:val="0"/>
          <w:sz w:val="10"/>
          <w:szCs w:val="10"/>
          <w:lang w:eastAsia="fr-FR"/>
          <w14:ligatures w14:val="none"/>
        </w:rPr>
      </w:pPr>
    </w:p>
    <w:p w14:paraId="6C1B020D" w14:textId="77777777" w:rsidR="00181C9F" w:rsidRDefault="00181C9F" w:rsidP="00181C9F">
      <w:pPr>
        <w:spacing w:after="0" w:line="240" w:lineRule="auto"/>
        <w:jc w:val="both"/>
        <w:rPr>
          <w:rFonts w:ascii="Times New Roman" w:eastAsia="Times New Roman" w:hAnsi="Times New Roman" w:cs="Times New Roman"/>
          <w:kern w:val="0"/>
          <w:lang w:eastAsia="fr-FR"/>
          <w14:ligatures w14:val="none"/>
        </w:rPr>
      </w:pPr>
      <w:r w:rsidRPr="00735AFF">
        <w:rPr>
          <w:rFonts w:ascii="Times New Roman" w:eastAsia="Times New Roman" w:hAnsi="Times New Roman" w:cs="Times New Roman"/>
          <w:kern w:val="0"/>
          <w:lang w:eastAsia="fr-FR"/>
          <w14:ligatures w14:val="none"/>
        </w:rPr>
        <w:t>Lors d'une reprise d'abonnement, la TdE vérifie le compte du précédent abonné.</w:t>
      </w:r>
    </w:p>
    <w:p w14:paraId="1F87CBBA" w14:textId="77777777" w:rsidR="00181C9F" w:rsidRDefault="00181C9F" w:rsidP="00181C9F">
      <w:pPr>
        <w:spacing w:after="0" w:line="240" w:lineRule="auto"/>
        <w:jc w:val="both"/>
        <w:rPr>
          <w:rFonts w:ascii="Times New Roman" w:eastAsia="Times New Roman" w:hAnsi="Times New Roman" w:cs="Times New Roman"/>
          <w:kern w:val="0"/>
          <w:sz w:val="4"/>
          <w:szCs w:val="4"/>
          <w:lang w:eastAsia="fr-FR"/>
          <w14:ligatures w14:val="none"/>
        </w:rPr>
      </w:pPr>
    </w:p>
    <w:p w14:paraId="792F0498" w14:textId="77777777" w:rsidR="00181C9F" w:rsidRDefault="00181C9F" w:rsidP="00181C9F">
      <w:pPr>
        <w:spacing w:after="0" w:line="240" w:lineRule="auto"/>
        <w:jc w:val="both"/>
        <w:rPr>
          <w:rFonts w:ascii="Times New Roman" w:eastAsia="Times New Roman" w:hAnsi="Times New Roman" w:cs="Times New Roman"/>
          <w:kern w:val="0"/>
          <w:sz w:val="4"/>
          <w:szCs w:val="4"/>
          <w:lang w:eastAsia="fr-FR"/>
          <w14:ligatures w14:val="none"/>
        </w:rPr>
      </w:pPr>
    </w:p>
    <w:p w14:paraId="1BF50D78" w14:textId="77777777" w:rsidR="00181C9F" w:rsidRPr="00181C9F" w:rsidRDefault="00181C9F" w:rsidP="00181C9F">
      <w:pPr>
        <w:spacing w:after="0" w:line="240" w:lineRule="auto"/>
        <w:jc w:val="both"/>
        <w:rPr>
          <w:rFonts w:ascii="Times New Roman" w:eastAsia="Times New Roman" w:hAnsi="Times New Roman" w:cs="Times New Roman"/>
          <w:kern w:val="0"/>
          <w:sz w:val="4"/>
          <w:szCs w:val="4"/>
          <w:lang w:eastAsia="fr-FR"/>
          <w14:ligatures w14:val="none"/>
        </w:rPr>
      </w:pPr>
    </w:p>
    <w:p w14:paraId="632A8BE1" w14:textId="77777777" w:rsidR="00181C9F" w:rsidRPr="00735AFF" w:rsidRDefault="00181C9F" w:rsidP="00181C9F">
      <w:pPr>
        <w:spacing w:after="0" w:line="240" w:lineRule="auto"/>
        <w:jc w:val="both"/>
        <w:rPr>
          <w:rFonts w:ascii="Times New Roman" w:eastAsia="Times New Roman" w:hAnsi="Times New Roman" w:cs="Times New Roman"/>
          <w:kern w:val="0"/>
          <w:lang w:eastAsia="fr-FR"/>
          <w14:ligatures w14:val="none"/>
        </w:rPr>
      </w:pPr>
      <w:r w:rsidRPr="00735AFF">
        <w:rPr>
          <w:rFonts w:ascii="Times New Roman" w:eastAsia="Times New Roman" w:hAnsi="Times New Roman" w:cs="Times New Roman"/>
          <w:kern w:val="0"/>
          <w:lang w:eastAsia="fr-FR"/>
          <w14:ligatures w14:val="none"/>
        </w:rPr>
        <w:t>Le principe prévu dans le document est que le compte du précédent abonné doit être soldé avant la saisie du nouvel abonnement. Toutefois, le nouveau client peut accepter de reprendre tout ou partie des dettes attachées au point ; celles-ci sont alors reportées sur son compte selon les modalités prévues.</w:t>
      </w:r>
    </w:p>
    <w:p w14:paraId="72452AF3" w14:textId="77777777" w:rsidR="00181C9F" w:rsidRPr="00735AFF" w:rsidRDefault="00181C9F" w:rsidP="00181C9F">
      <w:pPr>
        <w:spacing w:after="0" w:line="240" w:lineRule="auto"/>
        <w:jc w:val="both"/>
        <w:rPr>
          <w:rFonts w:ascii="Times New Roman" w:eastAsia="Times New Roman" w:hAnsi="Times New Roman" w:cs="Times New Roman"/>
          <w:kern w:val="0"/>
          <w:lang w:eastAsia="fr-FR"/>
          <w14:ligatures w14:val="none"/>
        </w:rPr>
      </w:pPr>
    </w:p>
    <w:sectPr w:rsidR="00181C9F" w:rsidRPr="00735AFF" w:rsidSect="00181C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B0D7E"/>
    <w:multiLevelType w:val="multilevel"/>
    <w:tmpl w:val="7FE62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875E0C"/>
    <w:multiLevelType w:val="multilevel"/>
    <w:tmpl w:val="83B2A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7A5725"/>
    <w:multiLevelType w:val="multilevel"/>
    <w:tmpl w:val="ED162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F94D56"/>
    <w:multiLevelType w:val="multilevel"/>
    <w:tmpl w:val="2074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CF192E"/>
    <w:multiLevelType w:val="multilevel"/>
    <w:tmpl w:val="3928F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6C4098"/>
    <w:multiLevelType w:val="multilevel"/>
    <w:tmpl w:val="A0206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0100D2"/>
    <w:multiLevelType w:val="multilevel"/>
    <w:tmpl w:val="451C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EB5964"/>
    <w:multiLevelType w:val="multilevel"/>
    <w:tmpl w:val="35E27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7E37B7"/>
    <w:multiLevelType w:val="multilevel"/>
    <w:tmpl w:val="4822A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B1672B"/>
    <w:multiLevelType w:val="multilevel"/>
    <w:tmpl w:val="3EBC3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371A0E"/>
    <w:multiLevelType w:val="multilevel"/>
    <w:tmpl w:val="9D601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426106"/>
    <w:multiLevelType w:val="multilevel"/>
    <w:tmpl w:val="D4D21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A92C9A"/>
    <w:multiLevelType w:val="multilevel"/>
    <w:tmpl w:val="AF54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0A3E1F"/>
    <w:multiLevelType w:val="multilevel"/>
    <w:tmpl w:val="B55E7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2914B4"/>
    <w:multiLevelType w:val="multilevel"/>
    <w:tmpl w:val="092A0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444519">
    <w:abstractNumId w:val="3"/>
  </w:num>
  <w:num w:numId="2" w16cid:durableId="1244800770">
    <w:abstractNumId w:val="8"/>
  </w:num>
  <w:num w:numId="3" w16cid:durableId="104010048">
    <w:abstractNumId w:val="0"/>
  </w:num>
  <w:num w:numId="4" w16cid:durableId="2099399897">
    <w:abstractNumId w:val="11"/>
  </w:num>
  <w:num w:numId="5" w16cid:durableId="1506701202">
    <w:abstractNumId w:val="12"/>
  </w:num>
  <w:num w:numId="6" w16cid:durableId="945038417">
    <w:abstractNumId w:val="14"/>
  </w:num>
  <w:num w:numId="7" w16cid:durableId="876091368">
    <w:abstractNumId w:val="9"/>
  </w:num>
  <w:num w:numId="8" w16cid:durableId="1527133792">
    <w:abstractNumId w:val="6"/>
  </w:num>
  <w:num w:numId="9" w16cid:durableId="983387215">
    <w:abstractNumId w:val="4"/>
  </w:num>
  <w:num w:numId="10" w16cid:durableId="697701511">
    <w:abstractNumId w:val="7"/>
  </w:num>
  <w:num w:numId="11" w16cid:durableId="1485271939">
    <w:abstractNumId w:val="2"/>
  </w:num>
  <w:num w:numId="12" w16cid:durableId="2143958480">
    <w:abstractNumId w:val="5"/>
  </w:num>
  <w:num w:numId="13" w16cid:durableId="1669017899">
    <w:abstractNumId w:val="1"/>
  </w:num>
  <w:num w:numId="14" w16cid:durableId="1375234507">
    <w:abstractNumId w:val="13"/>
  </w:num>
  <w:num w:numId="15" w16cid:durableId="15636330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C9F"/>
    <w:rsid w:val="00181C9F"/>
    <w:rsid w:val="003D07DD"/>
    <w:rsid w:val="008B483B"/>
    <w:rsid w:val="008E73A0"/>
    <w:rsid w:val="00AC4577"/>
    <w:rsid w:val="00E91E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4DF36"/>
  <w15:chartTrackingRefBased/>
  <w15:docId w15:val="{B2DF26C4-1B26-4AA1-A027-83F34BC99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C9F"/>
  </w:style>
  <w:style w:type="paragraph" w:styleId="Titre1">
    <w:name w:val="heading 1"/>
    <w:basedOn w:val="Normal"/>
    <w:next w:val="Normal"/>
    <w:link w:val="Titre1Car"/>
    <w:uiPriority w:val="9"/>
    <w:qFormat/>
    <w:rsid w:val="00181C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81C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181C9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81C9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81C9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81C9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81C9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81C9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81C9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81C9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81C9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181C9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81C9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81C9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81C9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81C9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81C9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81C9F"/>
    <w:rPr>
      <w:rFonts w:eastAsiaTheme="majorEastAsia" w:cstheme="majorBidi"/>
      <w:color w:val="272727" w:themeColor="text1" w:themeTint="D8"/>
    </w:rPr>
  </w:style>
  <w:style w:type="paragraph" w:styleId="Titre">
    <w:name w:val="Title"/>
    <w:basedOn w:val="Normal"/>
    <w:next w:val="Normal"/>
    <w:link w:val="TitreCar"/>
    <w:uiPriority w:val="10"/>
    <w:qFormat/>
    <w:rsid w:val="00181C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81C9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81C9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81C9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81C9F"/>
    <w:pPr>
      <w:spacing w:before="160"/>
      <w:jc w:val="center"/>
    </w:pPr>
    <w:rPr>
      <w:i/>
      <w:iCs/>
      <w:color w:val="404040" w:themeColor="text1" w:themeTint="BF"/>
    </w:rPr>
  </w:style>
  <w:style w:type="character" w:customStyle="1" w:styleId="CitationCar">
    <w:name w:val="Citation Car"/>
    <w:basedOn w:val="Policepardfaut"/>
    <w:link w:val="Citation"/>
    <w:uiPriority w:val="29"/>
    <w:rsid w:val="00181C9F"/>
    <w:rPr>
      <w:i/>
      <w:iCs/>
      <w:color w:val="404040" w:themeColor="text1" w:themeTint="BF"/>
    </w:rPr>
  </w:style>
  <w:style w:type="paragraph" w:styleId="Paragraphedeliste">
    <w:name w:val="List Paragraph"/>
    <w:basedOn w:val="Normal"/>
    <w:uiPriority w:val="34"/>
    <w:qFormat/>
    <w:rsid w:val="00181C9F"/>
    <w:pPr>
      <w:ind w:left="720"/>
      <w:contextualSpacing/>
    </w:pPr>
  </w:style>
  <w:style w:type="character" w:styleId="Accentuationintense">
    <w:name w:val="Intense Emphasis"/>
    <w:basedOn w:val="Policepardfaut"/>
    <w:uiPriority w:val="21"/>
    <w:qFormat/>
    <w:rsid w:val="00181C9F"/>
    <w:rPr>
      <w:i/>
      <w:iCs/>
      <w:color w:val="2F5496" w:themeColor="accent1" w:themeShade="BF"/>
    </w:rPr>
  </w:style>
  <w:style w:type="paragraph" w:styleId="Citationintense">
    <w:name w:val="Intense Quote"/>
    <w:basedOn w:val="Normal"/>
    <w:next w:val="Normal"/>
    <w:link w:val="CitationintenseCar"/>
    <w:uiPriority w:val="30"/>
    <w:qFormat/>
    <w:rsid w:val="00181C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81C9F"/>
    <w:rPr>
      <w:i/>
      <w:iCs/>
      <w:color w:val="2F5496" w:themeColor="accent1" w:themeShade="BF"/>
    </w:rPr>
  </w:style>
  <w:style w:type="character" w:styleId="Rfrenceintense">
    <w:name w:val="Intense Reference"/>
    <w:basedOn w:val="Policepardfaut"/>
    <w:uiPriority w:val="32"/>
    <w:qFormat/>
    <w:rsid w:val="00181C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221</Words>
  <Characters>1218</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Kodjo Sedofio AMEGAN-AYAMENOU</dc:creator>
  <cp:keywords/>
  <dc:description/>
  <cp:lastModifiedBy>Henri Kodjo Sedofio AMEGAN-AYAMENOU</cp:lastModifiedBy>
  <cp:revision>1</cp:revision>
  <dcterms:created xsi:type="dcterms:W3CDTF">2026-08-31T13:45:00Z</dcterms:created>
  <dcterms:modified xsi:type="dcterms:W3CDTF">2026-08-31T14:01:00Z</dcterms:modified>
</cp:coreProperties>
</file>